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ED" w:rsidRDefault="002802ED" w:rsidP="002802ED">
      <w:pPr>
        <w:pStyle w:val="Default"/>
        <w:spacing w:after="23"/>
        <w:rPr>
          <w:rFonts w:ascii="Times New Roman" w:hAnsi="Times New Roman" w:cs="Times New Roman"/>
          <w:b/>
          <w:iCs/>
        </w:rPr>
      </w:pPr>
      <w:r w:rsidRPr="00821499">
        <w:rPr>
          <w:rFonts w:ascii="Times New Roman" w:hAnsi="Times New Roman" w:cs="Times New Roman"/>
          <w:b/>
          <w:iCs/>
        </w:rPr>
        <w:t>Chapters in essay collections</w:t>
      </w:r>
    </w:p>
    <w:p w:rsidR="002802ED" w:rsidRDefault="002802ED" w:rsidP="002802ED">
      <w:pPr>
        <w:pStyle w:val="Default"/>
        <w:spacing w:after="23"/>
        <w:rPr>
          <w:rFonts w:ascii="Times New Roman" w:hAnsi="Times New Roman" w:cs="Times New Roman"/>
          <w:b/>
          <w:iCs/>
        </w:rPr>
      </w:pPr>
    </w:p>
    <w:p w:rsidR="002802ED" w:rsidRDefault="002802ED" w:rsidP="0028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E0750">
        <w:rPr>
          <w:rFonts w:ascii="Times New Roman" w:hAnsi="Times New Roman" w:cs="Times New Roman"/>
          <w:iCs/>
        </w:rPr>
        <w:t>(fort</w:t>
      </w:r>
      <w:r>
        <w:rPr>
          <w:rFonts w:ascii="Times New Roman" w:hAnsi="Times New Roman" w:cs="Times New Roman"/>
          <w:iCs/>
        </w:rPr>
        <w:t>h</w:t>
      </w:r>
      <w:r w:rsidRPr="004E0750">
        <w:rPr>
          <w:rFonts w:ascii="Times New Roman" w:hAnsi="Times New Roman" w:cs="Times New Roman"/>
          <w:iCs/>
        </w:rPr>
        <w:t>coming)</w:t>
      </w:r>
      <w:r>
        <w:rPr>
          <w:rFonts w:ascii="Times New Roman" w:hAnsi="Times New Roman" w:cs="Times New Roman"/>
          <w:iCs/>
        </w:rPr>
        <w:t xml:space="preserve">  </w:t>
      </w:r>
      <w:r w:rsidRPr="004E0750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From Social Participation to Commoning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. In N. Bobic and F. Haghighi (eds) </w:t>
      </w:r>
      <w:r w:rsidRPr="004E0750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The Routledge Handbook of Architecture, Urban Space and Politics, Vol II: Ecology, Social Participation and Marginalities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London: Routledge.</w:t>
      </w:r>
    </w:p>
    <w:p w:rsidR="002802ED" w:rsidRDefault="002802ED" w:rsidP="0028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2802ED" w:rsidRPr="003C7968" w:rsidRDefault="002802ED" w:rsidP="002802E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>
        <w:rPr>
          <w:rFonts w:ascii="Times New Roman" w:hAnsi="Times New Roman" w:cs="Times New Roman"/>
          <w:iCs/>
        </w:rPr>
        <w:t xml:space="preserve">2023  </w:t>
      </w:r>
      <w:r w:rsidRPr="003C796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Commoning Urban Design. A Research Proposal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. </w:t>
      </w:r>
      <w:r w:rsidRPr="003C796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In H. Kamalipour, N. Peimani and P. Aelbrecht (eds.) The Routledge Handbook of Urban Design Research Methods </w:t>
      </w:r>
    </w:p>
    <w:p w:rsidR="002802ED" w:rsidRDefault="002802ED" w:rsidP="002802ED">
      <w:pPr>
        <w:pStyle w:val="Default"/>
        <w:spacing w:after="23"/>
        <w:rPr>
          <w:rFonts w:ascii="Times New Roman" w:eastAsia="Times New Roman" w:hAnsi="Times New Roman" w:cs="Times New Roman"/>
          <w:color w:val="auto"/>
          <w:lang w:val="en-GB" w:eastAsia="el-GR"/>
        </w:rPr>
      </w:pPr>
    </w:p>
    <w:p w:rsidR="002802ED" w:rsidRPr="003C7968" w:rsidRDefault="002802ED" w:rsidP="002802ED">
      <w:pPr>
        <w:pStyle w:val="Default"/>
        <w:spacing w:after="23"/>
        <w:rPr>
          <w:rFonts w:ascii="Times New Roman" w:eastAsia="Times New Roman" w:hAnsi="Times New Roman" w:cs="Times New Roman"/>
          <w:color w:val="auto"/>
          <w:lang w:val="en-GB" w:eastAsia="el-GR"/>
        </w:rPr>
      </w:pPr>
      <w:r>
        <w:rPr>
          <w:rFonts w:ascii="Times New Roman" w:eastAsia="Times New Roman" w:hAnsi="Times New Roman" w:cs="Times New Roman"/>
          <w:color w:val="auto"/>
          <w:lang w:val="en-GB" w:eastAsia="el-GR"/>
        </w:rPr>
        <w:t xml:space="preserve">2023   Revisiting the practices and ethics of participatory design: Learning from contemporary Latin American examples. In Kyriaki Tsoukala (ed.) </w:t>
      </w:r>
      <w:r w:rsidRPr="00F87F0B">
        <w:rPr>
          <w:rFonts w:ascii="Times New Roman" w:eastAsia="Times New Roman" w:hAnsi="Times New Roman" w:cs="Times New Roman"/>
          <w:i/>
          <w:color w:val="auto"/>
          <w:lang w:val="en-GB" w:eastAsia="el-GR"/>
        </w:rPr>
        <w:t>Social Practices and City Spaces. Towards a cooperative and Inclusive Inhabited Space.</w:t>
      </w:r>
      <w:r>
        <w:rPr>
          <w:rFonts w:ascii="Times New Roman" w:eastAsia="Times New Roman" w:hAnsi="Times New Roman" w:cs="Times New Roman"/>
          <w:color w:val="auto"/>
          <w:lang w:val="en-GB" w:eastAsia="el-GR"/>
        </w:rPr>
        <w:t xml:space="preserve"> London: Routledge</w:t>
      </w:r>
    </w:p>
    <w:p w:rsidR="002802ED" w:rsidRDefault="002802ED" w:rsidP="002802ED">
      <w:pPr>
        <w:pStyle w:val="Default"/>
        <w:spacing w:after="23"/>
        <w:rPr>
          <w:rFonts w:ascii="Times New Roman" w:hAnsi="Times New Roman" w:cs="Times New Roman"/>
          <w:b/>
          <w:iCs/>
        </w:rPr>
      </w:pPr>
    </w:p>
    <w:p w:rsidR="002802ED" w:rsidRPr="0040573F" w:rsidRDefault="002802ED" w:rsidP="002802ED">
      <w:pPr>
        <w:pStyle w:val="Reference"/>
        <w:spacing w:line="240" w:lineRule="auto"/>
        <w:ind w:left="0" w:firstLine="0"/>
        <w:contextualSpacing/>
        <w:jc w:val="both"/>
        <w:rPr>
          <w:lang w:val="en-GB" w:eastAsia="el-GR"/>
        </w:rPr>
      </w:pPr>
      <w:r w:rsidRPr="0040573F">
        <w:rPr>
          <w:lang w:val="en-GB" w:eastAsia="el-GR"/>
        </w:rPr>
        <w:t>2022</w:t>
      </w:r>
      <w:r>
        <w:rPr>
          <w:lang w:val="en-GB" w:eastAsia="el-GR"/>
        </w:rPr>
        <w:t>,  “</w:t>
      </w:r>
      <w:r w:rsidRPr="0040573F">
        <w:rPr>
          <w:lang w:val="en-GB" w:eastAsia="el-GR"/>
        </w:rPr>
        <w:t>Reiventing Community through Commoning</w:t>
      </w:r>
      <w:r>
        <w:rPr>
          <w:lang w:val="en-GB" w:eastAsia="el-GR"/>
        </w:rPr>
        <w:t>”</w:t>
      </w:r>
      <w:r w:rsidRPr="0040573F">
        <w:rPr>
          <w:lang w:val="en-GB" w:eastAsia="el-GR"/>
        </w:rPr>
        <w:t xml:space="preserve">. In Louis </w:t>
      </w:r>
      <w:r>
        <w:rPr>
          <w:lang w:val="en-GB" w:eastAsia="el-GR"/>
        </w:rPr>
        <w:t xml:space="preserve">  </w:t>
      </w:r>
      <w:r w:rsidRPr="0040573F">
        <w:rPr>
          <w:lang w:val="en-GB" w:eastAsia="el-GR"/>
        </w:rPr>
        <w:t>Volont, Thijs Lijster and Pascal Gielen</w:t>
      </w:r>
      <w:r w:rsidRPr="0040573F">
        <w:rPr>
          <w:i/>
          <w:lang w:val="en-GB" w:eastAsia="el-GR"/>
        </w:rPr>
        <w:t xml:space="preserve"> </w:t>
      </w:r>
      <w:r>
        <w:rPr>
          <w:lang w:val="en-GB" w:eastAsia="el-GR"/>
        </w:rPr>
        <w:t xml:space="preserve"> (eds.) </w:t>
      </w:r>
      <w:r w:rsidRPr="0040573F">
        <w:rPr>
          <w:i/>
          <w:lang w:val="en-GB" w:eastAsia="el-GR"/>
        </w:rPr>
        <w:t>The Rise of the Common City</w:t>
      </w:r>
      <w:r w:rsidRPr="0040573F">
        <w:rPr>
          <w:lang w:val="en-GB" w:eastAsia="el-GR"/>
        </w:rPr>
        <w:t>, eds., Brussel: ASP.</w:t>
      </w:r>
    </w:p>
    <w:p w:rsidR="002802ED" w:rsidRPr="00821499" w:rsidRDefault="002802ED" w:rsidP="002802ED">
      <w:pPr>
        <w:pStyle w:val="Default"/>
        <w:spacing w:after="23"/>
        <w:rPr>
          <w:rFonts w:ascii="Times New Roman" w:hAnsi="Times New Roman" w:cs="Times New Roman"/>
          <w:b/>
          <w:iCs/>
        </w:rPr>
      </w:pP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1499">
        <w:rPr>
          <w:rFonts w:ascii="Times New Roman" w:hAnsi="Times New Roman" w:cs="Times New Roman"/>
          <w:sz w:val="24"/>
          <w:szCs w:val="24"/>
          <w:lang w:val="en-GB"/>
        </w:rPr>
        <w:t xml:space="preserve">2018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ab/>
        <w:t xml:space="preserve">“The Potentials of Space Commoning. The Capacity to Act and Think through Space”. In N. Dockx and P. Gielen (eds.) </w:t>
      </w:r>
      <w:r w:rsidRPr="00821499">
        <w:rPr>
          <w:rFonts w:ascii="Times New Roman" w:hAnsi="Times New Roman" w:cs="Times New Roman"/>
          <w:i/>
          <w:sz w:val="24"/>
          <w:szCs w:val="24"/>
          <w:lang w:val="en-GB"/>
        </w:rPr>
        <w:t>Commonism. A New Aesthetics of the Real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>. Amsterdam: Valiz, 345-362.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499">
        <w:rPr>
          <w:rFonts w:ascii="Times New Roman" w:hAnsi="Times New Roman" w:cs="Times New Roman"/>
          <w:sz w:val="24"/>
          <w:szCs w:val="24"/>
          <w:lang w:val="en-GB"/>
        </w:rPr>
        <w:t xml:space="preserve">2017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ab/>
        <w:t xml:space="preserve">“The December 2008 Uprising’s Stencil Images in Athens: Writing or inventing traces of the Future?” </w:t>
      </w:r>
      <w:r w:rsidRPr="0082149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 xml:space="preserve">K. Avramidis and M. Tsilimpounidi (eds.), </w:t>
      </w:r>
      <w:r w:rsidRPr="00821499">
        <w:rPr>
          <w:rFonts w:ascii="Times New Roman" w:hAnsi="Times New Roman" w:cs="Times New Roman"/>
          <w:i/>
          <w:sz w:val="24"/>
          <w:szCs w:val="24"/>
          <w:lang w:val="en-US"/>
        </w:rPr>
        <w:t>Graffiti and Street Art</w:t>
      </w:r>
      <w:r w:rsidRPr="008214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>London: Routledge, 164-176.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499">
        <w:rPr>
          <w:rFonts w:ascii="Times New Roman" w:hAnsi="Times New Roman" w:cs="Times New Roman"/>
          <w:sz w:val="24"/>
          <w:szCs w:val="24"/>
          <w:lang w:val="en-US"/>
        </w:rPr>
        <w:t xml:space="preserve">2016    “Athens 2004 Olympics: An Urban State of Exception which Became the Rule”. In C. Vainer, A. M. Broudehoux, F. Sanchez and F. Leal de Oliveira (eds.) </w:t>
      </w:r>
      <w:r w:rsidRPr="00821499">
        <w:rPr>
          <w:rFonts w:ascii="Times New Roman" w:hAnsi="Times New Roman" w:cs="Times New Roman"/>
          <w:i/>
          <w:sz w:val="24"/>
          <w:szCs w:val="24"/>
          <w:lang w:val="en-US"/>
        </w:rPr>
        <w:t>Mega-events and the City - Critical Perspectives</w:t>
      </w:r>
      <w:r w:rsidRPr="00821499">
        <w:rPr>
          <w:rFonts w:ascii="Times New Roman" w:hAnsi="Times New Roman" w:cs="Times New Roman"/>
          <w:sz w:val="24"/>
          <w:szCs w:val="24"/>
          <w:lang w:val="en-US"/>
        </w:rPr>
        <w:t xml:space="preserve">, Rio de Janeiro: Ettern, 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21499">
        <w:rPr>
          <w:rFonts w:ascii="Times New Roman" w:hAnsi="Times New Roman" w:cs="Times New Roman"/>
          <w:sz w:val="24"/>
          <w:szCs w:val="24"/>
          <w:lang w:val="en-GB"/>
        </w:rPr>
        <w:t xml:space="preserve">2015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ab/>
        <w:t xml:space="preserve">“Rethinking democracy and citizen participation through the recent ‘squares movements’”. </w:t>
      </w:r>
      <w:r w:rsidRPr="00821499">
        <w:rPr>
          <w:rFonts w:ascii="Times New Roman" w:hAnsi="Times New Roman" w:cs="Times New Roman"/>
          <w:sz w:val="24"/>
          <w:szCs w:val="24"/>
          <w:lang w:val="de-DE"/>
        </w:rPr>
        <w:t xml:space="preserve">In A. Fitz und dérive – Stadtforschung (eds.) </w:t>
      </w:r>
      <w:r w:rsidRPr="00821499">
        <w:rPr>
          <w:rFonts w:ascii="Times New Roman" w:hAnsi="Times New Roman" w:cs="Times New Roman"/>
          <w:i/>
          <w:sz w:val="24"/>
          <w:szCs w:val="24"/>
          <w:lang w:val="de-DE"/>
        </w:rPr>
        <w:t>We-Traders - Tausche Krise gegen Stadt</w:t>
      </w:r>
      <w:r w:rsidRPr="0082149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>Berlin: Goethe-Institut/ Ring eBooks.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21499">
        <w:rPr>
          <w:rFonts w:ascii="Times New Roman" w:hAnsi="Times New Roman" w:cs="Times New Roman"/>
          <w:sz w:val="24"/>
          <w:szCs w:val="24"/>
          <w:lang w:val="es-ES"/>
        </w:rPr>
        <w:t xml:space="preserve">2015 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ab/>
        <w:t xml:space="preserve">“Normalización y excepción en la metrópolis contemporánea”. In </w:t>
      </w:r>
      <w:r w:rsidRPr="00821499">
        <w:rPr>
          <w:rFonts w:ascii="Times New Roman" w:hAnsi="Times New Roman" w:cs="Times New Roman"/>
          <w:i/>
          <w:sz w:val="24"/>
          <w:szCs w:val="24"/>
          <w:lang w:val="es-ES"/>
        </w:rPr>
        <w:t>Enclaves de riesgo, Gobierno neoliberal, desigualidad y control social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>, Madrid: Trafficantes de Suenos, 107-126.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499">
        <w:rPr>
          <w:rFonts w:ascii="Times New Roman" w:hAnsi="Times New Roman" w:cs="Times New Roman"/>
          <w:sz w:val="24"/>
          <w:szCs w:val="24"/>
          <w:lang w:val="es-ES"/>
        </w:rPr>
        <w:t xml:space="preserve">2015 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ab/>
        <w:t xml:space="preserve">“Espacios communes emergentes en Atenas, una ciudad en crisis”. In I. Martin, I. Tirado (eds), </w:t>
      </w:r>
      <w:r w:rsidRPr="00821499">
        <w:rPr>
          <w:rFonts w:ascii="Times New Roman" w:hAnsi="Times New Roman" w:cs="Times New Roman"/>
          <w:i/>
          <w:sz w:val="24"/>
          <w:szCs w:val="24"/>
          <w:lang w:val="es-ES"/>
        </w:rPr>
        <w:t>Grecia: aspectos políticos y jurídico-económicos de la crisis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821499">
        <w:rPr>
          <w:rFonts w:ascii="Times New Roman" w:hAnsi="Times New Roman" w:cs="Times New Roman"/>
          <w:sz w:val="24"/>
          <w:szCs w:val="24"/>
          <w:lang w:val="en-GB"/>
        </w:rPr>
        <w:t>Madrid: Centro de Estudios Políticos y Constitutionales, 137-154.</w:t>
      </w:r>
    </w:p>
    <w:p w:rsidR="002802ED" w:rsidRPr="00821499" w:rsidRDefault="002802ED" w:rsidP="002802ED">
      <w:pPr>
        <w:tabs>
          <w:tab w:val="left" w:pos="567"/>
        </w:tabs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821499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821499">
        <w:rPr>
          <w:rFonts w:ascii="Times New Roman" w:hAnsi="Times New Roman" w:cs="Times New Roman"/>
          <w:bCs/>
          <w:sz w:val="24"/>
          <w:szCs w:val="24"/>
        </w:rPr>
        <w:tab/>
      </w:r>
      <w:r w:rsidRPr="00821499">
        <w:rPr>
          <w:rFonts w:ascii="Times New Roman" w:hAnsi="Times New Roman" w:cs="Times New Roman"/>
          <w:bCs/>
          <w:sz w:val="24"/>
          <w:szCs w:val="24"/>
        </w:rPr>
        <w:tab/>
        <w:t xml:space="preserve">“What Does a Settlement's Layout Show about the Society Which Inhabits it? On the Importance of Thinking-through-images”. In S. Souvatzi and A. Hadji (eds) </w:t>
      </w:r>
      <w:r w:rsidRPr="00821499">
        <w:rPr>
          <w:rFonts w:ascii="Times New Roman" w:hAnsi="Times New Roman" w:cs="Times New Roman"/>
          <w:bCs/>
          <w:i/>
          <w:sz w:val="24"/>
          <w:szCs w:val="24"/>
        </w:rPr>
        <w:t>Space and Time in Mediterranean Prehistory</w:t>
      </w:r>
      <w:r w:rsidRPr="008214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1499">
        <w:rPr>
          <w:rFonts w:ascii="Times New Roman" w:hAnsi="Times New Roman" w:cs="Times New Roman"/>
          <w:bCs/>
          <w:sz w:val="24"/>
          <w:szCs w:val="24"/>
          <w:lang w:val="es-ES"/>
        </w:rPr>
        <w:t>London: Routledge/Informa, 49-63.</w:t>
      </w:r>
    </w:p>
    <w:p w:rsidR="002802ED" w:rsidRPr="00821499" w:rsidRDefault="002802ED" w:rsidP="002802ED">
      <w:pPr>
        <w:pStyle w:val="a3"/>
        <w:tabs>
          <w:tab w:val="clear" w:pos="1701"/>
        </w:tabs>
        <w:spacing w:after="16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21499">
        <w:rPr>
          <w:rFonts w:ascii="Times New Roman" w:hAnsi="Times New Roman" w:cs="Times New Roman"/>
          <w:sz w:val="24"/>
          <w:szCs w:val="24"/>
          <w:lang w:val="es-ES"/>
        </w:rPr>
        <w:t xml:space="preserve">2014 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ab/>
        <w:t xml:space="preserve">“Reinventing social housing? ¿Reinventar la vivienda social?” In </w:t>
      </w:r>
      <w:r w:rsidRPr="00821499">
        <w:rPr>
          <w:rFonts w:ascii="Times New Roman" w:hAnsi="Times New Roman" w:cs="Times New Roman"/>
          <w:i/>
          <w:sz w:val="24"/>
          <w:szCs w:val="24"/>
          <w:lang w:val="es-ES"/>
        </w:rPr>
        <w:t>Repensar Bon Pastor, Tejiendo historias urbanas de Barcelona desde el umbral de las casas baratas</w:t>
      </w:r>
      <w:r w:rsidRPr="00821499">
        <w:rPr>
          <w:rFonts w:ascii="Times New Roman" w:hAnsi="Times New Roman" w:cs="Times New Roman"/>
          <w:sz w:val="24"/>
          <w:szCs w:val="24"/>
          <w:lang w:val="es-ES"/>
        </w:rPr>
        <w:t>, Barcelona: Col·lectiu Repensar Bonpastor, 453-455.</w:t>
      </w:r>
    </w:p>
    <w:p w:rsidR="002802ED" w:rsidRPr="00821499" w:rsidRDefault="002802ED" w:rsidP="002802ED">
      <w:pPr>
        <w:pStyle w:val="1"/>
        <w:tabs>
          <w:tab w:val="left" w:pos="142"/>
        </w:tabs>
        <w:spacing w:before="0" w:beforeAutospacing="0" w:after="160" w:afterAutospacing="0"/>
        <w:ind w:left="720" w:hanging="720"/>
        <w:contextualSpacing/>
        <w:jc w:val="both"/>
        <w:rPr>
          <w:b w:val="0"/>
          <w:kern w:val="0"/>
          <w:sz w:val="24"/>
          <w:szCs w:val="24"/>
          <w:lang w:val="en-US" w:eastAsia="en-US"/>
        </w:rPr>
      </w:pPr>
      <w:r w:rsidRPr="00821499">
        <w:rPr>
          <w:b w:val="0"/>
          <w:kern w:val="0"/>
          <w:sz w:val="24"/>
          <w:szCs w:val="24"/>
          <w:lang w:val="en-US" w:eastAsia="en-US"/>
        </w:rPr>
        <w:t xml:space="preserve">2014 </w:t>
      </w:r>
      <w:r w:rsidRPr="00821499">
        <w:rPr>
          <w:b w:val="0"/>
          <w:kern w:val="0"/>
          <w:sz w:val="24"/>
          <w:szCs w:val="24"/>
          <w:lang w:val="en-US" w:eastAsia="en-US"/>
        </w:rPr>
        <w:tab/>
        <w:t>“Open Space Appropriations and the Potentialities of a “City of Thresholds”. In M. Mariani. and P. Barron (eds.)</w:t>
      </w:r>
      <w:r w:rsidRPr="00821499">
        <w:rPr>
          <w:b w:val="0"/>
          <w:i/>
          <w:kern w:val="0"/>
          <w:sz w:val="24"/>
          <w:szCs w:val="24"/>
          <w:lang w:val="en-US" w:eastAsia="en-US"/>
        </w:rPr>
        <w:t xml:space="preserve"> Terrain Vague: Interstices at the Edge of Pale</w:t>
      </w:r>
      <w:r w:rsidRPr="00821499">
        <w:rPr>
          <w:b w:val="0"/>
          <w:kern w:val="0"/>
          <w:sz w:val="24"/>
          <w:szCs w:val="24"/>
          <w:lang w:val="en-US" w:eastAsia="en-US"/>
        </w:rPr>
        <w:t>. New York: Routledge, 48-61.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2014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“On Urban Commoning: The City Shapes Institutions of Sharing”. In F. Ferguson (ed.)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Make_Shift City, Renegotiating the urban commons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 . Berlin: Jovis Verlag (in English and German), 83-89.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2014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“Occupied Squares and the 'Urban State of Exception': In, against and beyond the City of Enclaves”. In P. Colombo and E. Schindel (eds.),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Space and the Memories of Violence. Landscapes of Erasure, Disappearance and Exception.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 Palgrave, 231-243.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2014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“Housing and the City: Re-inventing the Urban Commons”. In Binna Choi and Maiko Tana (eds.),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Grand Domestic Revolution Handbook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>. CasCo projects, Utrecht, 269-280.</w:t>
      </w:r>
    </w:p>
    <w:p w:rsidR="002802ED" w:rsidRPr="00821499" w:rsidRDefault="002802ED" w:rsidP="002802ED">
      <w:pPr>
        <w:pStyle w:val="1"/>
        <w:tabs>
          <w:tab w:val="left" w:pos="142"/>
        </w:tabs>
        <w:spacing w:before="0" w:beforeAutospacing="0" w:after="160" w:afterAutospacing="0"/>
        <w:ind w:left="720" w:hanging="720"/>
        <w:contextualSpacing/>
        <w:jc w:val="both"/>
        <w:rPr>
          <w:b w:val="0"/>
          <w:kern w:val="0"/>
          <w:sz w:val="24"/>
          <w:szCs w:val="24"/>
          <w:lang w:val="en-US" w:eastAsia="en-US"/>
        </w:rPr>
      </w:pPr>
      <w:r w:rsidRPr="00821499">
        <w:rPr>
          <w:b w:val="0"/>
          <w:kern w:val="0"/>
          <w:sz w:val="24"/>
          <w:szCs w:val="24"/>
          <w:lang w:val="en-US" w:eastAsia="en-US"/>
        </w:rPr>
        <w:t xml:space="preserve">2013 </w:t>
      </w:r>
      <w:r w:rsidRPr="00821499">
        <w:rPr>
          <w:b w:val="0"/>
          <w:kern w:val="0"/>
          <w:sz w:val="24"/>
          <w:szCs w:val="24"/>
          <w:lang w:val="en-US" w:eastAsia="en-US"/>
        </w:rPr>
        <w:tab/>
        <w:t>“Contested Urban Rhythms: From the Industrial City to the Post Industrial Urban Archipelago”. In R.J Smith and K. Hetherington (eds.)</w:t>
      </w:r>
      <w:r w:rsidRPr="00821499">
        <w:rPr>
          <w:b w:val="0"/>
          <w:i/>
          <w:kern w:val="0"/>
          <w:sz w:val="24"/>
          <w:szCs w:val="24"/>
          <w:lang w:val="en-US" w:eastAsia="en-US"/>
        </w:rPr>
        <w:t xml:space="preserve"> Urban Rhythms: Mobilities, Space and Interaction in the Contemporary City</w:t>
      </w:r>
      <w:r w:rsidRPr="00821499">
        <w:rPr>
          <w:b w:val="0"/>
          <w:kern w:val="0"/>
          <w:sz w:val="24"/>
          <w:szCs w:val="24"/>
          <w:lang w:val="en-US" w:eastAsia="en-US"/>
        </w:rPr>
        <w:t>. London: Wiley-Blackwell.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2011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“Public Space as Commons”. In Paraskevaidou and Senova (eds.)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Uncovered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>. Cyprus, 13-15.</w:t>
      </w:r>
    </w:p>
    <w:p w:rsidR="002802ED" w:rsidRPr="00821499" w:rsidRDefault="002802ED" w:rsidP="002802ED">
      <w:pPr>
        <w:ind w:left="720" w:hanging="660"/>
        <w:jc w:val="both"/>
        <w:rPr>
          <w:rFonts w:ascii="Times New Roman" w:hAnsi="Times New Roman" w:cs="Times New Roman"/>
          <w:sz w:val="24"/>
          <w:szCs w:val="24"/>
          <w:lang w:val="es-ES"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2010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“Redefining the Right to the City: Representations of Public Space as Part of the Urban Struggles”. </w:t>
      </w:r>
      <w:r w:rsidRPr="00821499">
        <w:rPr>
          <w:rFonts w:ascii="Times New Roman" w:hAnsi="Times New Roman" w:cs="Times New Roman"/>
          <w:sz w:val="24"/>
          <w:szCs w:val="24"/>
          <w:lang w:val="it-IT" w:eastAsia="el-GR"/>
        </w:rPr>
        <w:t xml:space="preserve">In, G. Sonda, Cl. Coletta, F. Gabbi (eds.) </w:t>
      </w:r>
      <w:r w:rsidRPr="00821499">
        <w:rPr>
          <w:rFonts w:ascii="Times New Roman" w:hAnsi="Times New Roman" w:cs="Times New Roman"/>
          <w:i/>
          <w:sz w:val="24"/>
          <w:szCs w:val="24"/>
          <w:lang w:val="it-IT" w:eastAsia="el-GR"/>
        </w:rPr>
        <w:t>Organizing Cities.</w:t>
      </w:r>
      <w:r w:rsidRPr="00821499">
        <w:rPr>
          <w:rFonts w:ascii="Times New Roman" w:hAnsi="Times New Roman" w:cs="Times New Roman"/>
          <w:sz w:val="24"/>
          <w:szCs w:val="24"/>
          <w:lang w:val="it-IT" w:eastAsia="el-GR"/>
        </w:rPr>
        <w:t xml:space="preserve"> </w:t>
      </w:r>
      <w:r w:rsidRPr="00821499">
        <w:rPr>
          <w:rFonts w:ascii="Times New Roman" w:hAnsi="Times New Roman" w:cs="Times New Roman"/>
          <w:sz w:val="24"/>
          <w:szCs w:val="24"/>
          <w:lang w:val="es-ES" w:eastAsia="el-GR"/>
        </w:rPr>
        <w:t>London: Ashgate, 35-48.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val="es-ES" w:eastAsia="el-GR"/>
        </w:rPr>
        <w:t xml:space="preserve">2009 </w:t>
      </w:r>
      <w:r w:rsidRPr="00821499">
        <w:rPr>
          <w:rFonts w:ascii="Times New Roman" w:hAnsi="Times New Roman" w:cs="Times New Roman"/>
          <w:sz w:val="24"/>
          <w:szCs w:val="24"/>
          <w:lang w:val="es-ES" w:eastAsia="el-GR"/>
        </w:rPr>
        <w:tab/>
        <w:t xml:space="preserve">Espacialidades de emancipación y la ciudad de umbrales.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In J. Holloway, F. Matamoros and S. Tischler (eds.)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Pensar a contrapelo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>. Buenos Aires: Herramienta, 53-60.</w:t>
      </w:r>
    </w:p>
    <w:p w:rsidR="002802ED" w:rsidRPr="00821499" w:rsidRDefault="002802ED" w:rsidP="002802E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21499">
        <w:rPr>
          <w:rFonts w:ascii="Times New Roman" w:hAnsi="Times New Roman" w:cs="Times New Roman"/>
          <w:sz w:val="24"/>
          <w:szCs w:val="24"/>
          <w:lang w:eastAsia="el-GR"/>
        </w:rPr>
        <w:t xml:space="preserve">2007 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“Heterotopias and the Experience of Porous Urban Space”. In K. Franck and Q. Stevens, (eds.) </w:t>
      </w:r>
      <w:r w:rsidRPr="00821499">
        <w:rPr>
          <w:rFonts w:ascii="Times New Roman" w:hAnsi="Times New Roman" w:cs="Times New Roman"/>
          <w:i/>
          <w:sz w:val="24"/>
          <w:szCs w:val="24"/>
          <w:lang w:eastAsia="el-GR"/>
        </w:rPr>
        <w:t>Loose Space: Possbility and Diversity in Urban Life</w:t>
      </w:r>
      <w:r w:rsidRPr="00821499">
        <w:rPr>
          <w:rFonts w:ascii="Times New Roman" w:hAnsi="Times New Roman" w:cs="Times New Roman"/>
          <w:sz w:val="24"/>
          <w:szCs w:val="24"/>
          <w:lang w:eastAsia="el-GR"/>
        </w:rPr>
        <w:t>. London: Routledge, 174-192.</w:t>
      </w:r>
    </w:p>
    <w:p w:rsidR="00966BCA" w:rsidRDefault="00966BCA">
      <w:bookmarkStart w:id="0" w:name="_GoBack"/>
      <w:bookmarkEnd w:id="0"/>
    </w:p>
    <w:sectPr w:rsidR="00966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ED"/>
    <w:rsid w:val="002802ED"/>
    <w:rsid w:val="009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ED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Char"/>
    <w:uiPriority w:val="99"/>
    <w:qFormat/>
    <w:rsid w:val="00280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2802E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2802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2802ED"/>
    <w:pPr>
      <w:tabs>
        <w:tab w:val="left" w:pos="1701"/>
      </w:tabs>
      <w:overflowPunct w:val="0"/>
      <w:autoSpaceDE w:val="0"/>
      <w:autoSpaceDN w:val="0"/>
      <w:adjustRightInd w:val="0"/>
      <w:spacing w:after="0" w:line="360" w:lineRule="auto"/>
      <w:ind w:left="720" w:hanging="1560"/>
      <w:textAlignment w:val="baseline"/>
    </w:pPr>
    <w:rPr>
      <w:rFonts w:ascii="Arial" w:eastAsia="Times New Roman" w:hAnsi="Arial" w:cs="Arial"/>
      <w:szCs w:val="20"/>
      <w:lang w:val="el-GR" w:eastAsia="el-GR"/>
    </w:rPr>
  </w:style>
  <w:style w:type="paragraph" w:customStyle="1" w:styleId="Reference">
    <w:name w:val="†Reference"/>
    <w:rsid w:val="002802ED"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ED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Char"/>
    <w:uiPriority w:val="99"/>
    <w:qFormat/>
    <w:rsid w:val="00280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2802E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2802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2802ED"/>
    <w:pPr>
      <w:tabs>
        <w:tab w:val="left" w:pos="1701"/>
      </w:tabs>
      <w:overflowPunct w:val="0"/>
      <w:autoSpaceDE w:val="0"/>
      <w:autoSpaceDN w:val="0"/>
      <w:adjustRightInd w:val="0"/>
      <w:spacing w:after="0" w:line="360" w:lineRule="auto"/>
      <w:ind w:left="720" w:hanging="1560"/>
      <w:textAlignment w:val="baseline"/>
    </w:pPr>
    <w:rPr>
      <w:rFonts w:ascii="Arial" w:eastAsia="Times New Roman" w:hAnsi="Arial" w:cs="Arial"/>
      <w:szCs w:val="20"/>
      <w:lang w:val="el-GR" w:eastAsia="el-GR"/>
    </w:rPr>
  </w:style>
  <w:style w:type="paragraph" w:customStyle="1" w:styleId="Reference">
    <w:name w:val="†Reference"/>
    <w:rsid w:val="002802ED"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2024-01-11T16:08:00Z</dcterms:created>
  <dcterms:modified xsi:type="dcterms:W3CDTF">2024-01-11T16:08:00Z</dcterms:modified>
</cp:coreProperties>
</file>